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FF" w:rsidRPr="00690833" w:rsidRDefault="00690833" w:rsidP="006908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Биология, </w:t>
      </w:r>
      <w:bookmarkStart w:id="0" w:name="_GoBack"/>
      <w:bookmarkEnd w:id="0"/>
      <w:r w:rsidR="0072062B" w:rsidRPr="00690833">
        <w:rPr>
          <w:rFonts w:ascii="Times New Roman" w:hAnsi="Times New Roman" w:cs="Times New Roman"/>
          <w:b/>
          <w:sz w:val="24"/>
          <w:szCs w:val="24"/>
        </w:rPr>
        <w:t>9 класс, 1 ВАРИАНТ, ответы</w:t>
      </w:r>
    </w:p>
    <w:p w:rsidR="00E641FF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Вопрос 1.</w:t>
      </w:r>
      <w:r w:rsidRPr="00690833">
        <w:rPr>
          <w:rFonts w:ascii="Times New Roman" w:hAnsi="Times New Roman" w:cs="Times New Roman"/>
          <w:sz w:val="24"/>
          <w:szCs w:val="24"/>
        </w:rPr>
        <w:t xml:space="preserve"> </w:t>
      </w:r>
      <w:r w:rsidR="00E641FF" w:rsidRPr="00690833">
        <w:rPr>
          <w:rFonts w:ascii="Times New Roman" w:hAnsi="Times New Roman" w:cs="Times New Roman"/>
          <w:sz w:val="24"/>
          <w:szCs w:val="24"/>
        </w:rPr>
        <w:t>Соотнесите группы перечисленных бактерий и их отношение к кислороду.</w:t>
      </w:r>
    </w:p>
    <w:p w:rsidR="002D4BC2" w:rsidRPr="00690833" w:rsidRDefault="002D4BC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90833">
        <w:rPr>
          <w:rFonts w:ascii="Times New Roman" w:hAnsi="Times New Roman" w:cs="Times New Roman"/>
          <w:b/>
          <w:iCs/>
          <w:sz w:val="24"/>
          <w:szCs w:val="24"/>
        </w:rPr>
        <w:t>Ответ.</w:t>
      </w:r>
    </w:p>
    <w:p w:rsidR="00E641FF" w:rsidRPr="00690833" w:rsidRDefault="00E641FF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iCs/>
          <w:sz w:val="24"/>
          <w:szCs w:val="24"/>
        </w:rPr>
        <w:t xml:space="preserve">Кишечная палочка, сальмонеллы, </w:t>
      </w:r>
      <w:proofErr w:type="spellStart"/>
      <w:r w:rsidRPr="00690833">
        <w:rPr>
          <w:rFonts w:ascii="Times New Roman" w:hAnsi="Times New Roman" w:cs="Times New Roman"/>
          <w:iCs/>
          <w:sz w:val="24"/>
          <w:szCs w:val="24"/>
        </w:rPr>
        <w:t>шигеллы</w:t>
      </w:r>
      <w:proofErr w:type="spellEnd"/>
      <w:r w:rsidRPr="00690833">
        <w:rPr>
          <w:rFonts w:ascii="Times New Roman" w:hAnsi="Times New Roman" w:cs="Times New Roman"/>
          <w:iCs/>
          <w:sz w:val="24"/>
          <w:szCs w:val="24"/>
        </w:rPr>
        <w:t xml:space="preserve">, стрептококки - </w:t>
      </w:r>
      <w:r w:rsidRPr="00690833">
        <w:rPr>
          <w:rFonts w:ascii="Times New Roman" w:hAnsi="Times New Roman" w:cs="Times New Roman"/>
          <w:bCs/>
          <w:iCs/>
          <w:sz w:val="24"/>
          <w:szCs w:val="24"/>
        </w:rPr>
        <w:t>Факультативные анаэробы</w:t>
      </w:r>
    </w:p>
    <w:p w:rsidR="00E641FF" w:rsidRPr="00690833" w:rsidRDefault="00E641FF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iCs/>
          <w:sz w:val="24"/>
          <w:szCs w:val="24"/>
        </w:rPr>
        <w:t xml:space="preserve">Молочнокислые бактерии - </w:t>
      </w:r>
      <w:proofErr w:type="spellStart"/>
      <w:r w:rsidRPr="00690833">
        <w:rPr>
          <w:rFonts w:ascii="Times New Roman" w:hAnsi="Times New Roman" w:cs="Times New Roman"/>
          <w:bCs/>
          <w:iCs/>
          <w:sz w:val="24"/>
          <w:szCs w:val="24"/>
        </w:rPr>
        <w:t>Аэротолерантные</w:t>
      </w:r>
      <w:proofErr w:type="spellEnd"/>
    </w:p>
    <w:p w:rsidR="00E641FF" w:rsidRPr="00690833" w:rsidRDefault="00E641FF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690833">
        <w:rPr>
          <w:rFonts w:ascii="Times New Roman" w:hAnsi="Times New Roman" w:cs="Times New Roman"/>
          <w:iCs/>
          <w:sz w:val="24"/>
          <w:szCs w:val="24"/>
        </w:rPr>
        <w:t>Маслянокислые</w:t>
      </w:r>
      <w:proofErr w:type="spellEnd"/>
      <w:r w:rsidRPr="00690833">
        <w:rPr>
          <w:rFonts w:ascii="Times New Roman" w:hAnsi="Times New Roman" w:cs="Times New Roman"/>
          <w:iCs/>
          <w:sz w:val="24"/>
          <w:szCs w:val="24"/>
        </w:rPr>
        <w:t xml:space="preserve"> бактерии (возбудитель ботулизма), метанобразующие, сульфатвосстанавливающие бактерии - </w:t>
      </w:r>
      <w:r w:rsidRPr="00690833">
        <w:rPr>
          <w:rFonts w:ascii="Times New Roman" w:hAnsi="Times New Roman" w:cs="Times New Roman"/>
          <w:bCs/>
          <w:iCs/>
          <w:sz w:val="24"/>
          <w:szCs w:val="24"/>
        </w:rPr>
        <w:t>Облигатные анаэробы</w:t>
      </w:r>
    </w:p>
    <w:p w:rsidR="00E641FF" w:rsidRPr="00690833" w:rsidRDefault="00E641FF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iCs/>
          <w:sz w:val="24"/>
          <w:szCs w:val="24"/>
        </w:rPr>
        <w:t xml:space="preserve">Аэробные азотфиксаторы - </w:t>
      </w:r>
      <w:proofErr w:type="spellStart"/>
      <w:r w:rsidRPr="00690833">
        <w:rPr>
          <w:rFonts w:ascii="Times New Roman" w:hAnsi="Times New Roman" w:cs="Times New Roman"/>
          <w:bCs/>
          <w:iCs/>
          <w:sz w:val="24"/>
          <w:szCs w:val="24"/>
        </w:rPr>
        <w:t>Микроаэрофилы</w:t>
      </w:r>
      <w:proofErr w:type="spellEnd"/>
    </w:p>
    <w:p w:rsidR="00E641FF" w:rsidRPr="00690833" w:rsidRDefault="00E641FF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iCs/>
          <w:sz w:val="24"/>
          <w:szCs w:val="24"/>
        </w:rPr>
        <w:t xml:space="preserve">Уксуснокислые бактерии - </w:t>
      </w:r>
      <w:r w:rsidRPr="00690833">
        <w:rPr>
          <w:rFonts w:ascii="Times New Roman" w:hAnsi="Times New Roman" w:cs="Times New Roman"/>
          <w:bCs/>
          <w:iCs/>
          <w:sz w:val="24"/>
          <w:szCs w:val="24"/>
        </w:rPr>
        <w:t>Облигатные аэробы</w:t>
      </w:r>
    </w:p>
    <w:p w:rsidR="00E641FF" w:rsidRPr="00690833" w:rsidRDefault="00E641FF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Вопрос 2</w:t>
      </w:r>
      <w:r w:rsidRPr="00690833">
        <w:rPr>
          <w:rFonts w:ascii="Times New Roman" w:hAnsi="Times New Roman" w:cs="Times New Roman"/>
          <w:sz w:val="24"/>
          <w:szCs w:val="24"/>
        </w:rPr>
        <w:t>. Укажите типы листьев.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Ответ</w:t>
      </w:r>
      <w:r w:rsidRPr="00690833">
        <w:rPr>
          <w:rFonts w:ascii="Times New Roman" w:hAnsi="Times New Roman" w:cs="Times New Roman"/>
          <w:sz w:val="24"/>
          <w:szCs w:val="24"/>
        </w:rPr>
        <w:t>.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Типы листьев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1. простой цельный</w:t>
      </w:r>
      <w:r w:rsidR="007E05D0" w:rsidRPr="00690833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2. сложный непарноперистый</w:t>
      </w:r>
      <w:r w:rsidR="007E05D0" w:rsidRPr="00690833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3. сложный парноперистый</w:t>
      </w:r>
      <w:r w:rsidR="007E05D0" w:rsidRPr="00690833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4. сложный тройчатый</w:t>
      </w:r>
      <w:r w:rsidR="007E05D0" w:rsidRPr="00690833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5. сложный пальчатый</w:t>
      </w:r>
      <w:r w:rsidR="007E05D0" w:rsidRPr="00690833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6. сложный дважды-непарноперистый.</w:t>
      </w:r>
      <w:r w:rsidR="007E05D0" w:rsidRPr="00690833">
        <w:rPr>
          <w:rFonts w:ascii="Times New Roman" w:hAnsi="Times New Roman" w:cs="Times New Roman"/>
          <w:sz w:val="24"/>
          <w:szCs w:val="24"/>
        </w:rPr>
        <w:t xml:space="preserve"> – 5 баллов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208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Вопрос 3</w:t>
      </w:r>
      <w:r w:rsidRPr="00690833">
        <w:rPr>
          <w:rFonts w:ascii="Times New Roman" w:hAnsi="Times New Roman" w:cs="Times New Roman"/>
          <w:sz w:val="24"/>
          <w:szCs w:val="24"/>
        </w:rPr>
        <w:t>.</w:t>
      </w:r>
      <w:r w:rsidR="00A82B3C" w:rsidRPr="00690833">
        <w:rPr>
          <w:rFonts w:ascii="Times New Roman" w:hAnsi="Times New Roman" w:cs="Times New Roman"/>
          <w:sz w:val="24"/>
          <w:szCs w:val="24"/>
        </w:rPr>
        <w:t xml:space="preserve"> </w:t>
      </w:r>
      <w:r w:rsidR="00567208" w:rsidRPr="00690833">
        <w:rPr>
          <w:rFonts w:ascii="Times New Roman" w:hAnsi="Times New Roman" w:cs="Times New Roman"/>
          <w:sz w:val="24"/>
          <w:szCs w:val="24"/>
        </w:rPr>
        <w:t xml:space="preserve">В чем заключается биологический смысл питания человека?  Какие 4 группы веществ должны обязательно поступать с пищей человека? Каким событием завершается процесс пищеварения? (30 баллов) </w:t>
      </w:r>
    </w:p>
    <w:p w:rsidR="00567208" w:rsidRPr="00690833" w:rsidRDefault="00567208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0833">
        <w:rPr>
          <w:rFonts w:ascii="Times New Roman" w:hAnsi="Times New Roman" w:cs="Times New Roman"/>
          <w:sz w:val="24"/>
          <w:szCs w:val="24"/>
          <w:u w:val="single"/>
        </w:rPr>
        <w:t xml:space="preserve">Ответ. </w:t>
      </w:r>
    </w:p>
    <w:p w:rsidR="00567208" w:rsidRPr="00690833" w:rsidRDefault="00567208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 xml:space="preserve">Биологический смысл питания человека заключается в расщеплении поступивших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макромалекул</w:t>
      </w:r>
      <w:proofErr w:type="spellEnd"/>
      <w:r w:rsidRPr="00690833">
        <w:rPr>
          <w:rFonts w:ascii="Times New Roman" w:hAnsi="Times New Roman" w:cs="Times New Roman"/>
          <w:sz w:val="24"/>
          <w:szCs w:val="24"/>
        </w:rPr>
        <w:t xml:space="preserve"> до мономеров. С пищей должны поступать углеводы, липиды, белки и нуклеиновые кислоты. Процесс пищеварения завершается всасыванием мономеров в кровь и лимфу, разносятся к клеткам и тканям. В свою очередь в клетках, окисляясь, мономеры служат источниками энергии АТФ.</w:t>
      </w:r>
    </w:p>
    <w:p w:rsidR="00567208" w:rsidRPr="00690833" w:rsidRDefault="00567208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D32" w:rsidRPr="00690833" w:rsidRDefault="00A82B3C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Вопрос 4</w:t>
      </w:r>
      <w:r w:rsidRPr="00690833">
        <w:rPr>
          <w:rFonts w:ascii="Times New Roman" w:hAnsi="Times New Roman" w:cs="Times New Roman"/>
          <w:sz w:val="24"/>
          <w:szCs w:val="24"/>
        </w:rPr>
        <w:t xml:space="preserve">. </w:t>
      </w:r>
      <w:r w:rsidR="001D7D32" w:rsidRPr="00690833">
        <w:rPr>
          <w:rFonts w:ascii="Times New Roman" w:hAnsi="Times New Roman" w:cs="Times New Roman"/>
          <w:sz w:val="24"/>
          <w:szCs w:val="24"/>
        </w:rPr>
        <w:t>Современная цифровая камера состоит из нескольких основных узлов: светочувствительная матрица, линзы объектива, механизм изменения диафрагмы, механизм фокусировки. Какие аналогии этим узлам можно найти в органе зрения человека?</w:t>
      </w:r>
    </w:p>
    <w:p w:rsidR="001D7D32" w:rsidRPr="00690833" w:rsidRDefault="001D7D3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Ответ</w:t>
      </w:r>
      <w:r w:rsidRPr="00690833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4819"/>
      </w:tblGrid>
      <w:tr w:rsidR="001D7D32" w:rsidRPr="00690833" w:rsidTr="00AA58D1">
        <w:tc>
          <w:tcPr>
            <w:tcW w:w="4361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4819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1D7D32" w:rsidRPr="00690833" w:rsidTr="00AA58D1">
        <w:tc>
          <w:tcPr>
            <w:tcW w:w="4361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Светочувствительная матрица</w:t>
            </w:r>
          </w:p>
        </w:tc>
        <w:tc>
          <w:tcPr>
            <w:tcW w:w="4819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Сетчатка</w:t>
            </w:r>
          </w:p>
        </w:tc>
      </w:tr>
      <w:tr w:rsidR="001D7D32" w:rsidRPr="00690833" w:rsidTr="00AA58D1">
        <w:tc>
          <w:tcPr>
            <w:tcW w:w="4361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Линзы объектива</w:t>
            </w:r>
          </w:p>
        </w:tc>
        <w:tc>
          <w:tcPr>
            <w:tcW w:w="4819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Хрусталик и роговица</w:t>
            </w:r>
          </w:p>
        </w:tc>
      </w:tr>
      <w:tr w:rsidR="001D7D32" w:rsidRPr="00690833" w:rsidTr="00AA58D1">
        <w:tc>
          <w:tcPr>
            <w:tcW w:w="4361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Механизм изменения диафрагмы</w:t>
            </w:r>
          </w:p>
        </w:tc>
        <w:tc>
          <w:tcPr>
            <w:tcW w:w="4819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Изменения диаметра зрачка</w:t>
            </w:r>
          </w:p>
        </w:tc>
      </w:tr>
      <w:tr w:rsidR="001D7D32" w:rsidRPr="00690833" w:rsidTr="00AA58D1">
        <w:tc>
          <w:tcPr>
            <w:tcW w:w="4361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Механизм фокусировки</w:t>
            </w:r>
          </w:p>
        </w:tc>
        <w:tc>
          <w:tcPr>
            <w:tcW w:w="4819" w:type="dxa"/>
          </w:tcPr>
          <w:p w:rsidR="001D7D32" w:rsidRPr="00690833" w:rsidRDefault="001D7D32" w:rsidP="00690833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Изменение кривизны хрусталика</w:t>
            </w:r>
          </w:p>
        </w:tc>
      </w:tr>
    </w:tbl>
    <w:p w:rsidR="00A82B3C" w:rsidRPr="00690833" w:rsidRDefault="00A82B3C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2AC" w:rsidRPr="00690833" w:rsidRDefault="001D7D3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Вопрос 5</w:t>
      </w:r>
      <w:r w:rsidRPr="00690833">
        <w:rPr>
          <w:rFonts w:ascii="Times New Roman" w:hAnsi="Times New Roman" w:cs="Times New Roman"/>
          <w:sz w:val="24"/>
          <w:szCs w:val="24"/>
        </w:rPr>
        <w:t>.</w:t>
      </w:r>
      <w:r w:rsidR="003F62AC"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Химический анализ показал, что 28% от общего числа нуклеотидов данной и-РНК приходится на </w:t>
      </w:r>
      <w:proofErr w:type="spellStart"/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адениловые</w:t>
      </w:r>
      <w:proofErr w:type="spellEnd"/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, 6% - на </w:t>
      </w:r>
      <w:proofErr w:type="spellStart"/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гуаниловые</w:t>
      </w:r>
      <w:proofErr w:type="spellEnd"/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, 40% - на </w:t>
      </w:r>
      <w:proofErr w:type="spellStart"/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уридиловые</w:t>
      </w:r>
      <w:proofErr w:type="spellEnd"/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нуклеотиды. Каков должен быть нуклеотидный состав соответствующего участка одной цепи гена, информация с которого «переписана» на данную и-РНК?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Решение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: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1. Подсчитать процентное содержание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цитидиловых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нуклеотидов в молекуле и-РНК: Ц = 100% - 28% - 6% - 40% = 26%.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2. и-РНК синтезируется с кодирующей цепи гена по принципу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комплементарности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(причем Т заменяется на У), процентный состав нуклеотидов в одной цепочке гена: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Ц и-РНК = Г гена = 26%,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Г и-РНК = Ц гена = 6%,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А и-РНК = Т гена = 28%,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У и-РНК = А гена = 40%.</w:t>
      </w:r>
    </w:p>
    <w:p w:rsidR="00690833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Ответ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: нуклеотидный состав одной из цепей гена следующий: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гуаниловых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нуклеотидов - 26%,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цитидиловых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- 6%,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тимидиловых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- 28%,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адениловых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- 40%.</w:t>
      </w:r>
    </w:p>
    <w:p w:rsidR="00E641FF" w:rsidRPr="00690833" w:rsidRDefault="00690833" w:rsidP="0069083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Биология, </w:t>
      </w:r>
      <w:r w:rsidR="0072062B" w:rsidRPr="006908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9 класс, </w:t>
      </w:r>
      <w:r w:rsidR="002D4BC2" w:rsidRPr="00690833">
        <w:rPr>
          <w:rFonts w:ascii="Times New Roman" w:hAnsi="Times New Roman" w:cs="Times New Roman"/>
          <w:b/>
          <w:bCs/>
          <w:iCs/>
          <w:sz w:val="24"/>
          <w:szCs w:val="24"/>
        </w:rPr>
        <w:t>2 ВАРИАНТ</w:t>
      </w:r>
      <w:r w:rsidR="0072062B" w:rsidRPr="00690833">
        <w:rPr>
          <w:rFonts w:ascii="Times New Roman" w:hAnsi="Times New Roman" w:cs="Times New Roman"/>
          <w:b/>
          <w:bCs/>
          <w:iCs/>
          <w:sz w:val="24"/>
          <w:szCs w:val="24"/>
        </w:rPr>
        <w:t>, ответы</w:t>
      </w:r>
    </w:p>
    <w:p w:rsidR="00E641FF" w:rsidRPr="00690833" w:rsidRDefault="002D4BC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b/>
          <w:bCs/>
          <w:iCs/>
          <w:sz w:val="24"/>
          <w:szCs w:val="24"/>
        </w:rPr>
        <w:t>Вопрос 1.</w:t>
      </w:r>
      <w:r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641FF" w:rsidRPr="00690833">
        <w:rPr>
          <w:rFonts w:ascii="Times New Roman" w:hAnsi="Times New Roman" w:cs="Times New Roman"/>
          <w:bCs/>
          <w:iCs/>
          <w:sz w:val="24"/>
          <w:szCs w:val="24"/>
        </w:rPr>
        <w:t>Соотнесите перечисленные микроорганизмы и антибиотики, получаемые из них.</w:t>
      </w:r>
    </w:p>
    <w:p w:rsidR="002D4BC2" w:rsidRPr="00690833" w:rsidRDefault="002D4BC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Ответ. </w:t>
      </w:r>
    </w:p>
    <w:p w:rsidR="00E641FF" w:rsidRPr="00690833" w:rsidRDefault="00E641FF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Актиномицеты - Стрептомицин, эритромицин, </w:t>
      </w:r>
      <w:proofErr w:type="spellStart"/>
      <w:r w:rsidRPr="00690833">
        <w:rPr>
          <w:rFonts w:ascii="Times New Roman" w:hAnsi="Times New Roman" w:cs="Times New Roman"/>
          <w:bCs/>
          <w:iCs/>
          <w:sz w:val="24"/>
          <w:szCs w:val="24"/>
        </w:rPr>
        <w:t>канамицин</w:t>
      </w:r>
      <w:proofErr w:type="spellEnd"/>
      <w:r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90833">
        <w:rPr>
          <w:rFonts w:ascii="Times New Roman" w:hAnsi="Times New Roman" w:cs="Times New Roman"/>
          <w:bCs/>
          <w:iCs/>
          <w:sz w:val="24"/>
          <w:szCs w:val="24"/>
        </w:rPr>
        <w:t>нистатин</w:t>
      </w:r>
      <w:proofErr w:type="spellEnd"/>
      <w:r w:rsidRPr="00690833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690833">
        <w:rPr>
          <w:rFonts w:ascii="Times New Roman" w:hAnsi="Times New Roman" w:cs="Times New Roman"/>
          <w:sz w:val="24"/>
          <w:szCs w:val="24"/>
        </w:rPr>
        <w:t xml:space="preserve"> тетрациклин,  левомицетин,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ванкомицин</w:t>
      </w:r>
      <w:proofErr w:type="spellEnd"/>
    </w:p>
    <w:p w:rsidR="00E641FF" w:rsidRPr="00690833" w:rsidRDefault="00E641FF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Cs/>
          <w:iCs/>
          <w:sz w:val="24"/>
          <w:szCs w:val="24"/>
        </w:rPr>
        <w:t>Плесневые грибы -</w:t>
      </w:r>
      <w:r w:rsidRPr="00690833">
        <w:rPr>
          <w:rFonts w:ascii="Times New Roman" w:hAnsi="Times New Roman" w:cs="Times New Roman"/>
          <w:sz w:val="24"/>
          <w:szCs w:val="24"/>
        </w:rPr>
        <w:t xml:space="preserve">  Пенициллин, цефалоспорин,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трихотецин</w:t>
      </w:r>
      <w:proofErr w:type="spellEnd"/>
    </w:p>
    <w:p w:rsidR="00E641FF" w:rsidRPr="00690833" w:rsidRDefault="00E641FF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0833">
        <w:rPr>
          <w:rFonts w:ascii="Times New Roman" w:hAnsi="Times New Roman" w:cs="Times New Roman"/>
          <w:bCs/>
          <w:iCs/>
          <w:sz w:val="24"/>
          <w:szCs w:val="24"/>
        </w:rPr>
        <w:t>Псевдомонады</w:t>
      </w:r>
      <w:proofErr w:type="spellEnd"/>
      <w:r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Пиоционин</w:t>
      </w:r>
      <w:proofErr w:type="spellEnd"/>
      <w:r w:rsidRPr="006908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азтреонам</w:t>
      </w:r>
      <w:proofErr w:type="spellEnd"/>
    </w:p>
    <w:p w:rsidR="00E641FF" w:rsidRPr="00690833" w:rsidRDefault="00E641FF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Бациллы -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Субтилин</w:t>
      </w:r>
      <w:proofErr w:type="spellEnd"/>
      <w:r w:rsidRPr="006908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бацитрацин</w:t>
      </w:r>
      <w:proofErr w:type="spellEnd"/>
      <w:r w:rsidRPr="00690833">
        <w:rPr>
          <w:rFonts w:ascii="Times New Roman" w:hAnsi="Times New Roman" w:cs="Times New Roman"/>
          <w:sz w:val="24"/>
          <w:szCs w:val="24"/>
        </w:rPr>
        <w:t>,</w:t>
      </w:r>
      <w:r w:rsidRPr="00690833">
        <w:rPr>
          <w:rFonts w:ascii="Times New Roman" w:eastAsia="+mn-ea" w:hAnsi="Times New Roman" w:cs="Times New Roman"/>
          <w:color w:val="6600CC"/>
          <w:sz w:val="24"/>
          <w:szCs w:val="24"/>
        </w:rPr>
        <w:t xml:space="preserve"> </w:t>
      </w:r>
      <w:r w:rsidRPr="00690833">
        <w:rPr>
          <w:rFonts w:ascii="Times New Roman" w:hAnsi="Times New Roman" w:cs="Times New Roman"/>
          <w:sz w:val="24"/>
          <w:szCs w:val="24"/>
        </w:rPr>
        <w:t xml:space="preserve">грамицидин, </w:t>
      </w:r>
      <w:proofErr w:type="spellStart"/>
      <w:r w:rsidRPr="00690833">
        <w:rPr>
          <w:rFonts w:ascii="Times New Roman" w:hAnsi="Times New Roman" w:cs="Times New Roman"/>
          <w:sz w:val="24"/>
          <w:szCs w:val="24"/>
        </w:rPr>
        <w:t>полимиксин</w:t>
      </w:r>
      <w:proofErr w:type="spellEnd"/>
    </w:p>
    <w:p w:rsidR="00E641FF" w:rsidRPr="00690833" w:rsidRDefault="00E641FF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Стрептококки - </w:t>
      </w:r>
      <w:r w:rsidRPr="00690833">
        <w:rPr>
          <w:rFonts w:ascii="Times New Roman" w:hAnsi="Times New Roman" w:cs="Times New Roman"/>
          <w:sz w:val="24"/>
          <w:szCs w:val="24"/>
        </w:rPr>
        <w:t>Низин</w:t>
      </w:r>
    </w:p>
    <w:p w:rsidR="00E641FF" w:rsidRPr="00690833" w:rsidRDefault="00E641FF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2D4BC2" w:rsidRPr="00690833" w:rsidRDefault="002D4BC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b/>
          <w:bCs/>
          <w:iCs/>
          <w:sz w:val="24"/>
          <w:szCs w:val="24"/>
        </w:rPr>
        <w:t>Вопрос 2</w:t>
      </w:r>
      <w:r w:rsidRPr="00690833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Pr="00690833">
        <w:rPr>
          <w:rFonts w:ascii="Times New Roman" w:hAnsi="Times New Roman" w:cs="Times New Roman"/>
          <w:sz w:val="24"/>
          <w:szCs w:val="24"/>
        </w:rPr>
        <w:t>Укажите типы соцветий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</w:p>
    <w:p w:rsidR="002D4BC2" w:rsidRPr="00690833" w:rsidRDefault="002D4BC2" w:rsidP="00690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Типы соцветий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 xml:space="preserve">1– кисть; 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 xml:space="preserve">2 – щиток; 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 xml:space="preserve">3 – колос; 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 xml:space="preserve">4 – зонтик; 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 xml:space="preserve">5 – початок; </w:t>
      </w:r>
    </w:p>
    <w:p w:rsidR="002D4BC2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 xml:space="preserve">6 – головка; </w:t>
      </w:r>
    </w:p>
    <w:p w:rsidR="002D4BC2" w:rsidRPr="00690833" w:rsidRDefault="002D4BC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</w:rPr>
        <w:t>7 – корзинка</w:t>
      </w:r>
    </w:p>
    <w:p w:rsidR="002D4BC2" w:rsidRPr="00690833" w:rsidRDefault="002D4BC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67208" w:rsidRPr="00690833" w:rsidRDefault="002D4BC2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Вопрос 3</w:t>
      </w:r>
      <w:r w:rsidRPr="00690833">
        <w:rPr>
          <w:rFonts w:ascii="Times New Roman" w:hAnsi="Times New Roman" w:cs="Times New Roman"/>
          <w:sz w:val="24"/>
          <w:szCs w:val="24"/>
        </w:rPr>
        <w:t xml:space="preserve">. </w:t>
      </w:r>
      <w:r w:rsidR="00567208" w:rsidRPr="00690833">
        <w:rPr>
          <w:rFonts w:ascii="Times New Roman" w:hAnsi="Times New Roman" w:cs="Times New Roman"/>
          <w:sz w:val="24"/>
          <w:szCs w:val="24"/>
        </w:rPr>
        <w:t xml:space="preserve">Поле зрения глаза здорового человека ограничивается оптически деятельной зоной сетчатки. Известно, что нормальные границы поля зрения на белый цвет шире, чем протяженность границ поля зрения для цветных тест-объектов. С чем это может быть связано? </w:t>
      </w:r>
    </w:p>
    <w:p w:rsidR="00567208" w:rsidRPr="00690833" w:rsidRDefault="00567208" w:rsidP="00690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Pr="00690833">
        <w:rPr>
          <w:rFonts w:ascii="Times New Roman" w:hAnsi="Times New Roman" w:cs="Times New Roman"/>
          <w:sz w:val="24"/>
          <w:szCs w:val="24"/>
        </w:rPr>
        <w:t xml:space="preserve"> Палочки – фоторецепторы, отвечают за черно-белое восприятие. Колбочки обеспечивают цветовое зрение. (5) Анатомически колбочки в основном сосредоточены в центре, а палочки больше по периферии, поэтому хроматическая зона поля зрения меньше. (10)</w:t>
      </w:r>
    </w:p>
    <w:p w:rsidR="00567208" w:rsidRPr="00690833" w:rsidRDefault="00567208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7D32" w:rsidRPr="00690833" w:rsidRDefault="00A82B3C" w:rsidP="0069083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Вопрос 4</w:t>
      </w:r>
      <w:r w:rsidRPr="00690833">
        <w:rPr>
          <w:rFonts w:ascii="Times New Roman" w:hAnsi="Times New Roman" w:cs="Times New Roman"/>
          <w:sz w:val="24"/>
          <w:szCs w:val="24"/>
        </w:rPr>
        <w:t xml:space="preserve">. </w:t>
      </w:r>
      <w:r w:rsidR="001D7D32" w:rsidRPr="00690833">
        <w:rPr>
          <w:rFonts w:ascii="Times New Roman" w:hAnsi="Times New Roman" w:cs="Times New Roman"/>
          <w:sz w:val="24"/>
          <w:szCs w:val="24"/>
        </w:rPr>
        <w:t xml:space="preserve"> Рыбы, обитающие на больших глубинах подвергаются действию критических уровней некоторых факторов, которые формируют специфические черты их анатомии, физиологии и поведения. Спрогнозируйте, какие из физико-химических или биотических факторов глубоководных биотопов (более 1000 метров) могут воздействовать на конкретные черты биологии рыб, и к каким последствиям приводить:</w:t>
      </w:r>
    </w:p>
    <w:p w:rsidR="00A82B3C" w:rsidRPr="00690833" w:rsidRDefault="001D7D3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90833">
        <w:rPr>
          <w:rFonts w:ascii="Times New Roman" w:hAnsi="Times New Roman" w:cs="Times New Roman"/>
          <w:b/>
          <w:sz w:val="24"/>
          <w:szCs w:val="24"/>
        </w:rPr>
        <w:t>Ответ</w:t>
      </w:r>
      <w:r w:rsidRPr="0069083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1D7D32" w:rsidRPr="00690833" w:rsidTr="001D7D32">
        <w:tc>
          <w:tcPr>
            <w:tcW w:w="3544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Факторы?</w:t>
            </w:r>
          </w:p>
        </w:tc>
        <w:tc>
          <w:tcPr>
            <w:tcW w:w="1985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827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Особенности?</w:t>
            </w:r>
          </w:p>
        </w:tc>
      </w:tr>
      <w:tr w:rsidR="001D7D32" w:rsidRPr="00690833" w:rsidTr="001D7D32">
        <w:tc>
          <w:tcPr>
            <w:tcW w:w="3544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 xml:space="preserve">На больших глубинах полностью отсутствует естественный свет, за исключением света, продуцируемого самими организмами. </w:t>
            </w:r>
          </w:p>
        </w:tc>
        <w:tc>
          <w:tcPr>
            <w:tcW w:w="1985" w:type="dxa"/>
          </w:tcPr>
          <w:p w:rsidR="001D7D32" w:rsidRPr="00690833" w:rsidRDefault="001D7D32" w:rsidP="00690833">
            <w:pPr>
              <w:ind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Степень развития органов зрения</w:t>
            </w:r>
          </w:p>
        </w:tc>
        <w:tc>
          <w:tcPr>
            <w:tcW w:w="3827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Существует два варианта строения органа зрения на больших глубинах:</w:t>
            </w:r>
          </w:p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- полная редукция (обычно)</w:t>
            </w:r>
          </w:p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- гипертрофированные глаза, способные воспринимать минимальный уровень освещенности</w:t>
            </w:r>
          </w:p>
        </w:tc>
      </w:tr>
      <w:tr w:rsidR="001D7D32" w:rsidRPr="00690833" w:rsidTr="001D7D32">
        <w:tc>
          <w:tcPr>
            <w:tcW w:w="3544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 xml:space="preserve">На большие глубины поступает крайне мало органического вещества из верхних слоев и практически ничего не продуцируется (за исключением с </w:t>
            </w:r>
            <w:proofErr w:type="spellStart"/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хемоавтотрофами</w:t>
            </w:r>
            <w:proofErr w:type="spellEnd"/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). Температура воды на глубинах от 1000 метров низка и приближается к 4</w:t>
            </w:r>
            <w:r w:rsidRPr="0069083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1985" w:type="dxa"/>
          </w:tcPr>
          <w:p w:rsidR="001D7D32" w:rsidRPr="00690833" w:rsidRDefault="001D7D32" w:rsidP="00690833">
            <w:pPr>
              <w:ind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Уровень метаболизма</w:t>
            </w:r>
          </w:p>
        </w:tc>
        <w:tc>
          <w:tcPr>
            <w:tcW w:w="3827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Глубоководные организмы, как правило, малоподвижны и  имеют очень низкий уровень метаболизма</w:t>
            </w:r>
          </w:p>
        </w:tc>
      </w:tr>
      <w:tr w:rsidR="001D7D32" w:rsidRPr="00690833" w:rsidTr="001D7D32">
        <w:tc>
          <w:tcPr>
            <w:tcW w:w="3544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Пищевые ресурсы на больших глубинах ограничены и имеют крайне низкую концентрацию. </w:t>
            </w:r>
          </w:p>
        </w:tc>
        <w:tc>
          <w:tcPr>
            <w:tcW w:w="1985" w:type="dxa"/>
          </w:tcPr>
          <w:p w:rsidR="001D7D32" w:rsidRPr="00690833" w:rsidRDefault="001D7D32" w:rsidP="00690833">
            <w:pPr>
              <w:ind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Стратегия питания</w:t>
            </w:r>
          </w:p>
        </w:tc>
        <w:tc>
          <w:tcPr>
            <w:tcW w:w="3827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 xml:space="preserve">Любой потенциальный пищевой ресурс должен быть потреблен. В связи с этим у глубоководных рыб часто возникают адаптации, позволяющие хищнику потребить жертву, превышающую его в размерах. </w:t>
            </w:r>
          </w:p>
        </w:tc>
      </w:tr>
      <w:tr w:rsidR="001D7D32" w:rsidRPr="00690833" w:rsidTr="001D7D32">
        <w:tc>
          <w:tcPr>
            <w:tcW w:w="3544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>Большие глубины характеризуются критической величиной давления водного столба</w:t>
            </w:r>
          </w:p>
        </w:tc>
        <w:tc>
          <w:tcPr>
            <w:tcW w:w="1985" w:type="dxa"/>
          </w:tcPr>
          <w:p w:rsidR="001D7D32" w:rsidRPr="00690833" w:rsidRDefault="001D7D32" w:rsidP="00690833">
            <w:pPr>
              <w:ind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Плотность скелета и мышечной ткани</w:t>
            </w:r>
          </w:p>
        </w:tc>
        <w:tc>
          <w:tcPr>
            <w:tcW w:w="3827" w:type="dxa"/>
          </w:tcPr>
          <w:p w:rsidR="001D7D32" w:rsidRPr="00690833" w:rsidRDefault="001D7D32" w:rsidP="00690833">
            <w:pPr>
              <w:pStyle w:val="a3"/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90833"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повышенного давления костный скелет имеет тенденцию к уменьшению, а мышечная ткань становиться менее плотной, с большим количеством воды. </w:t>
            </w:r>
          </w:p>
        </w:tc>
      </w:tr>
    </w:tbl>
    <w:p w:rsidR="001D7D32" w:rsidRPr="00690833" w:rsidRDefault="001D7D32" w:rsidP="0069083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3F62AC" w:rsidRPr="00690833" w:rsidRDefault="001D7D32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hAnsi="Times New Roman" w:cs="Times New Roman"/>
          <w:b/>
          <w:bCs/>
          <w:iCs/>
          <w:sz w:val="24"/>
          <w:szCs w:val="24"/>
        </w:rPr>
        <w:t>Вопрос 5</w:t>
      </w:r>
      <w:r w:rsidRPr="0069083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3F62AC" w:rsidRPr="00690833">
        <w:rPr>
          <w:rFonts w:ascii="Times New Roman" w:hAnsi="Times New Roman" w:cs="Times New Roman"/>
          <w:sz w:val="24"/>
          <w:szCs w:val="24"/>
        </w:rPr>
        <w:t xml:space="preserve"> </w:t>
      </w:r>
      <w:r w:rsidR="003F62AC"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От скрещивания лошадей серой и рыжей масти в первом поколении все потомство оказалось серым. Во втором поколении на каждые 16 лошадей в среднем появлялось 12 серых, 3 вороных и 1 рыжая. Определить тип наследования масти у лошадей.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Решение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: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Единообразие особей первого поколения свидетельствует о том, что исходные формы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гомозиготны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. Из этого можно сделать вывод о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гетерозиготности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потомства F1. Минимальное число комбинаций гамет, позволяющее описать расщепление в F2 данного скрещивания, равно 16 (12/16:3/16:1/16), что возможно лишь при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дигибридном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скрещивании. Однако, типичное расщепление в этом случае должно быть 9/16:3/16:3/16:1/16, где 9/16 - </w:t>
      </w:r>
      <w:r w:rsidRPr="00690833">
        <w:rPr>
          <w:rFonts w:ascii="Times New Roman" w:eastAsia="TimesNewRoman" w:hAnsi="Times New Roman" w:cs="Times New Roman"/>
          <w:sz w:val="24"/>
          <w:szCs w:val="24"/>
          <w:lang w:val="en-US" w:eastAsia="ru-RU"/>
        </w:rPr>
        <w:t>A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_</w:t>
      </w:r>
      <w:r w:rsidRPr="00690833">
        <w:rPr>
          <w:rFonts w:ascii="Times New Roman" w:eastAsia="TimesNewRoman" w:hAnsi="Times New Roman" w:cs="Times New Roman"/>
          <w:sz w:val="24"/>
          <w:szCs w:val="24"/>
          <w:lang w:val="en-US" w:eastAsia="ru-RU"/>
        </w:rPr>
        <w:t>B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_, 3/16 - </w:t>
      </w:r>
      <w:r w:rsidRPr="00690833">
        <w:rPr>
          <w:rFonts w:ascii="Times New Roman" w:eastAsia="TimesNewRoman" w:hAnsi="Times New Roman" w:cs="Times New Roman"/>
          <w:sz w:val="24"/>
          <w:szCs w:val="24"/>
          <w:lang w:val="en-US" w:eastAsia="ru-RU"/>
        </w:rPr>
        <w:t>A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_</w:t>
      </w:r>
      <w:r w:rsidRPr="00690833">
        <w:rPr>
          <w:rFonts w:ascii="Times New Roman" w:eastAsia="TimesNewRoman" w:hAnsi="Times New Roman" w:cs="Times New Roman"/>
          <w:sz w:val="24"/>
          <w:szCs w:val="24"/>
          <w:lang w:val="en-US" w:eastAsia="ru-RU"/>
        </w:rPr>
        <w:t>bb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, 3/16 - </w:t>
      </w:r>
      <w:r w:rsidRPr="00690833">
        <w:rPr>
          <w:rFonts w:ascii="Times New Roman" w:eastAsia="TimesNewRoman" w:hAnsi="Times New Roman" w:cs="Times New Roman"/>
          <w:sz w:val="24"/>
          <w:szCs w:val="24"/>
          <w:lang w:val="en-US" w:eastAsia="ru-RU"/>
        </w:rPr>
        <w:t>aa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В_, 1/16 -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аа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val="en-US" w:eastAsia="ru-RU"/>
        </w:rPr>
        <w:t>bb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. Можно предположить, что 12 /16 дает сочетание двух классов в расщеплении - 9/16 A_B_ и 3/16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A_bb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. Животные с такими фенотипами имеют серую масть. Тогда генотип вороных лошадей можно записать с помощью фенотипического радикала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aaB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, а рыжих -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aabb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. Следовательно, рыжая масть развивается только у особей, гомозиготных по двум рецессивным генам, вороная – в присутствии доминантного гена В при рецессивном а, а гены A и В вместе и ген A самостоятельно обусловливают серую масть. Ген В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в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присутствии гена A не имеет фенотипического проявления. Это позволяет сделать вывод, что ген A не только детерминирует серую окраску,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но и подавляет действие гена В.</w:t>
      </w:r>
    </w:p>
    <w:p w:rsidR="003F62AC" w:rsidRPr="00690833" w:rsidRDefault="003F62AC" w:rsidP="00690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833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Ответ</w:t>
      </w:r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дигибридное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скрещивание, взаимодействие неаллельных генов по типу доминантного </w:t>
      </w:r>
      <w:proofErr w:type="spellStart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эпистаза</w:t>
      </w:r>
      <w:proofErr w:type="spellEnd"/>
      <w:r w:rsidRPr="00690833">
        <w:rPr>
          <w:rFonts w:ascii="Times New Roman" w:eastAsia="TimesNewRoman" w:hAnsi="Times New Roman" w:cs="Times New Roman"/>
          <w:sz w:val="24"/>
          <w:szCs w:val="24"/>
          <w:lang w:eastAsia="ru-RU"/>
        </w:rPr>
        <w:t>.</w:t>
      </w:r>
    </w:p>
    <w:p w:rsidR="001D7D32" w:rsidRPr="0072062B" w:rsidRDefault="001D7D32" w:rsidP="002D4BC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</w:p>
    <w:sectPr w:rsidR="001D7D32" w:rsidRPr="0072062B" w:rsidSect="0069083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641FF"/>
    <w:rsid w:val="00177CA8"/>
    <w:rsid w:val="001D7D32"/>
    <w:rsid w:val="002007EA"/>
    <w:rsid w:val="002D4BC2"/>
    <w:rsid w:val="003F62AC"/>
    <w:rsid w:val="00417AA5"/>
    <w:rsid w:val="004F7D93"/>
    <w:rsid w:val="00522CCC"/>
    <w:rsid w:val="00567208"/>
    <w:rsid w:val="00690833"/>
    <w:rsid w:val="00714F29"/>
    <w:rsid w:val="0072062B"/>
    <w:rsid w:val="007E05D0"/>
    <w:rsid w:val="00A82B3C"/>
    <w:rsid w:val="00AA5A17"/>
    <w:rsid w:val="00C020F3"/>
    <w:rsid w:val="00DC3D79"/>
    <w:rsid w:val="00E641FF"/>
    <w:rsid w:val="00EA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FF"/>
  </w:style>
  <w:style w:type="paragraph" w:styleId="1">
    <w:name w:val="heading 1"/>
    <w:basedOn w:val="a"/>
    <w:next w:val="a"/>
    <w:link w:val="10"/>
    <w:qFormat/>
    <w:rsid w:val="002D4BC2"/>
    <w:pPr>
      <w:keepNext/>
      <w:spacing w:before="240" w:after="60" w:line="360" w:lineRule="auto"/>
      <w:ind w:firstLine="709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1F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D4BC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4">
    <w:name w:val="Table Grid"/>
    <w:basedOn w:val="a1"/>
    <w:uiPriority w:val="59"/>
    <w:rsid w:val="001D7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90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8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</Company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12</cp:revision>
  <cp:lastPrinted>2018-03-07T03:45:00Z</cp:lastPrinted>
  <dcterms:created xsi:type="dcterms:W3CDTF">2017-12-04T11:41:00Z</dcterms:created>
  <dcterms:modified xsi:type="dcterms:W3CDTF">2018-03-07T03:45:00Z</dcterms:modified>
</cp:coreProperties>
</file>